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赵丽艳</w:t>
      </w:r>
      <w:r>
        <w:rPr>
          <w:rFonts w:hint="eastAsia"/>
          <w:sz w:val="15"/>
          <w:szCs w:val="15"/>
          <w:highlight w:val="none"/>
        </w:rPr>
        <w:t>，</w:t>
      </w:r>
      <w:r>
        <w:rPr>
          <w:rFonts w:hint="eastAsia"/>
          <w:sz w:val="15"/>
          <w:szCs w:val="15"/>
          <w:highlight w:val="none"/>
          <w:lang w:val="en-US" w:eastAsia="zh-CN"/>
        </w:rPr>
        <w:t>132336198112240624</w:t>
      </w:r>
      <w:r>
        <w:rPr>
          <w:rFonts w:hint="eastAsia"/>
          <w:sz w:val="15"/>
          <w:szCs w:val="15"/>
        </w:rPr>
        <w:t xml:space="preserve">  </w:t>
      </w:r>
      <w:r>
        <w:rPr>
          <w:rFonts w:hint="eastAsia"/>
          <w:sz w:val="15"/>
          <w:szCs w:val="15"/>
          <w:lang w:val="en-US" w:eastAsia="zh-CN"/>
        </w:rPr>
        <w:t>冀A307AN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