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李军明</w:t>
      </w:r>
      <w:r>
        <w:rPr>
          <w:rFonts w:hint="eastAsia"/>
          <w:sz w:val="15"/>
          <w:szCs w:val="15"/>
          <w:highlight w:val="none"/>
        </w:rPr>
        <w:t>，</w:t>
      </w:r>
      <w:r>
        <w:rPr>
          <w:rFonts w:hint="eastAsia"/>
          <w:sz w:val="15"/>
          <w:szCs w:val="15"/>
          <w:highlight w:val="none"/>
          <w:lang w:val="en-US" w:eastAsia="zh-CN"/>
        </w:rPr>
        <w:t>132336197908131314</w:t>
      </w:r>
      <w:r>
        <w:rPr>
          <w:rFonts w:hint="eastAsia"/>
          <w:sz w:val="15"/>
          <w:szCs w:val="15"/>
        </w:rPr>
        <w:t xml:space="preserve">  </w:t>
      </w:r>
      <w:r>
        <w:rPr>
          <w:rFonts w:hint="eastAsia"/>
          <w:sz w:val="15"/>
          <w:szCs w:val="15"/>
          <w:lang w:val="en-US" w:eastAsia="zh-CN"/>
        </w:rPr>
        <w:t>冀A1467Z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