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耿东利</w:t>
      </w:r>
      <w:r>
        <w:rPr>
          <w:rFonts w:hint="eastAsia"/>
          <w:sz w:val="15"/>
          <w:szCs w:val="15"/>
          <w:highlight w:val="none"/>
        </w:rPr>
        <w:t>，</w:t>
      </w:r>
      <w:r>
        <w:rPr>
          <w:rFonts w:hint="eastAsia"/>
          <w:sz w:val="15"/>
          <w:szCs w:val="15"/>
          <w:highlight w:val="none"/>
          <w:lang w:val="en-US" w:eastAsia="zh-CN"/>
        </w:rPr>
        <w:t>132336197209161418</w:t>
      </w:r>
      <w:r>
        <w:rPr>
          <w:rFonts w:hint="eastAsia"/>
          <w:sz w:val="15"/>
          <w:szCs w:val="15"/>
        </w:rPr>
        <w:t xml:space="preserve">  </w:t>
      </w:r>
      <w:r>
        <w:rPr>
          <w:rFonts w:hint="eastAsia"/>
          <w:sz w:val="15"/>
          <w:szCs w:val="15"/>
          <w:lang w:val="en-US" w:eastAsia="zh-CN"/>
        </w:rPr>
        <w:t>冀AJ8004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