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杨新青</w:t>
      </w:r>
      <w:r>
        <w:rPr>
          <w:rFonts w:hint="eastAsia"/>
          <w:sz w:val="15"/>
          <w:szCs w:val="15"/>
          <w:highlight w:val="none"/>
        </w:rPr>
        <w:t>，</w:t>
      </w:r>
      <w:r>
        <w:rPr>
          <w:rFonts w:hint="eastAsia"/>
          <w:sz w:val="15"/>
          <w:szCs w:val="15"/>
          <w:highlight w:val="none"/>
          <w:lang w:val="en-US" w:eastAsia="zh-CN"/>
        </w:rPr>
        <w:t>132336197207210212</w:t>
      </w:r>
      <w:r>
        <w:rPr>
          <w:rFonts w:hint="eastAsia"/>
          <w:sz w:val="15"/>
          <w:szCs w:val="15"/>
        </w:rPr>
        <w:t xml:space="preserve">  </w:t>
      </w:r>
      <w:r>
        <w:rPr>
          <w:rFonts w:hint="eastAsia"/>
          <w:sz w:val="15"/>
          <w:szCs w:val="15"/>
          <w:lang w:val="en-US" w:eastAsia="zh-CN"/>
        </w:rPr>
        <w:t>冀A721RB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