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张雪刚</w:t>
      </w:r>
      <w:r>
        <w:rPr>
          <w:rFonts w:hint="eastAsia"/>
          <w:sz w:val="15"/>
          <w:szCs w:val="15"/>
          <w:highlight w:val="none"/>
        </w:rPr>
        <w:t>，</w:t>
      </w:r>
      <w:r>
        <w:rPr>
          <w:rFonts w:hint="eastAsia"/>
          <w:sz w:val="15"/>
          <w:szCs w:val="15"/>
          <w:highlight w:val="none"/>
          <w:lang w:val="en-US" w:eastAsia="zh-CN"/>
        </w:rPr>
        <w:t>132336197011201314</w:t>
      </w:r>
      <w:r>
        <w:rPr>
          <w:rFonts w:hint="eastAsia"/>
          <w:sz w:val="15"/>
          <w:szCs w:val="15"/>
        </w:rPr>
        <w:t xml:space="preserve">  </w:t>
      </w:r>
      <w:r>
        <w:rPr>
          <w:rFonts w:hint="eastAsia"/>
          <w:sz w:val="15"/>
          <w:szCs w:val="15"/>
          <w:lang w:val="en-US" w:eastAsia="zh-CN"/>
        </w:rPr>
        <w:t>冀A03287D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