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谷伟伟</w:t>
      </w:r>
      <w:r>
        <w:rPr>
          <w:rFonts w:hint="eastAsia"/>
          <w:sz w:val="15"/>
          <w:szCs w:val="15"/>
          <w:highlight w:val="none"/>
        </w:rPr>
        <w:t>，</w:t>
      </w:r>
      <w:r>
        <w:rPr>
          <w:rFonts w:hint="eastAsia"/>
          <w:sz w:val="15"/>
          <w:szCs w:val="15"/>
          <w:highlight w:val="none"/>
          <w:lang w:val="en-US" w:eastAsia="zh-CN"/>
        </w:rPr>
        <w:t>132335198006220412</w:t>
      </w:r>
      <w:r>
        <w:rPr>
          <w:rFonts w:hint="eastAsia"/>
          <w:sz w:val="15"/>
          <w:szCs w:val="15"/>
        </w:rPr>
        <w:t xml:space="preserve">  </w:t>
      </w:r>
      <w:r>
        <w:rPr>
          <w:rFonts w:hint="eastAsia"/>
          <w:sz w:val="15"/>
          <w:szCs w:val="15"/>
          <w:lang w:val="en-US" w:eastAsia="zh-CN"/>
        </w:rPr>
        <w:t>冀A3468E</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