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杜建丽</w:t>
      </w:r>
      <w:r>
        <w:rPr>
          <w:rFonts w:hint="eastAsia"/>
          <w:sz w:val="15"/>
          <w:szCs w:val="15"/>
          <w:highlight w:val="none"/>
        </w:rPr>
        <w:t>，</w:t>
      </w:r>
      <w:r>
        <w:rPr>
          <w:rFonts w:hint="eastAsia"/>
          <w:sz w:val="15"/>
          <w:szCs w:val="15"/>
          <w:highlight w:val="none"/>
          <w:lang w:val="en-US" w:eastAsia="zh-CN"/>
        </w:rPr>
        <w:t>132335198002080045</w:t>
      </w:r>
      <w:r>
        <w:rPr>
          <w:rFonts w:hint="eastAsia"/>
          <w:sz w:val="15"/>
          <w:szCs w:val="15"/>
        </w:rPr>
        <w:t xml:space="preserve">  </w:t>
      </w:r>
      <w:r>
        <w:rPr>
          <w:rFonts w:hint="eastAsia"/>
          <w:sz w:val="15"/>
          <w:szCs w:val="15"/>
          <w:lang w:val="en-US" w:eastAsia="zh-CN"/>
        </w:rPr>
        <w:t>冀A433AH</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