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任伟刚</w:t>
      </w:r>
      <w:r>
        <w:rPr>
          <w:rFonts w:hint="eastAsia"/>
          <w:sz w:val="15"/>
          <w:szCs w:val="15"/>
          <w:highlight w:val="none"/>
        </w:rPr>
        <w:t>，</w:t>
      </w:r>
      <w:r>
        <w:rPr>
          <w:rFonts w:hint="eastAsia"/>
          <w:sz w:val="15"/>
          <w:szCs w:val="15"/>
          <w:highlight w:val="none"/>
          <w:lang w:val="en-US" w:eastAsia="zh-CN"/>
        </w:rPr>
        <w:t>132335198001140050</w:t>
      </w:r>
      <w:r>
        <w:rPr>
          <w:rFonts w:hint="eastAsia"/>
          <w:sz w:val="15"/>
          <w:szCs w:val="15"/>
        </w:rPr>
        <w:t xml:space="preserve">  </w:t>
      </w:r>
      <w:r>
        <w:rPr>
          <w:rFonts w:hint="eastAsia"/>
          <w:sz w:val="15"/>
          <w:szCs w:val="15"/>
          <w:lang w:val="en-US" w:eastAsia="zh-CN"/>
        </w:rPr>
        <w:t>冀A7684H</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