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卞跃平</w:t>
      </w:r>
      <w:r>
        <w:rPr>
          <w:rFonts w:hint="eastAsia"/>
          <w:sz w:val="15"/>
          <w:szCs w:val="15"/>
          <w:highlight w:val="none"/>
        </w:rPr>
        <w:t>，</w:t>
      </w:r>
      <w:r>
        <w:rPr>
          <w:rFonts w:hint="eastAsia"/>
          <w:sz w:val="15"/>
          <w:szCs w:val="15"/>
          <w:highlight w:val="none"/>
          <w:lang w:val="en-US" w:eastAsia="zh-CN"/>
        </w:rPr>
        <w:t>132335197911300274</w:t>
      </w:r>
      <w:r>
        <w:rPr>
          <w:rFonts w:hint="eastAsia"/>
          <w:sz w:val="15"/>
          <w:szCs w:val="15"/>
        </w:rPr>
        <w:t xml:space="preserve">  </w:t>
      </w:r>
      <w:r>
        <w:rPr>
          <w:rFonts w:hint="eastAsia"/>
          <w:sz w:val="15"/>
          <w:szCs w:val="15"/>
          <w:lang w:val="en-US" w:eastAsia="zh-CN"/>
        </w:rPr>
        <w:t>冀AJ7673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