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秦立霞</w:t>
      </w:r>
      <w:r>
        <w:rPr>
          <w:rFonts w:hint="eastAsia"/>
          <w:sz w:val="15"/>
          <w:szCs w:val="15"/>
          <w:highlight w:val="none"/>
        </w:rPr>
        <w:t>，</w:t>
      </w:r>
      <w:r>
        <w:rPr>
          <w:rFonts w:hint="eastAsia"/>
          <w:sz w:val="15"/>
          <w:szCs w:val="15"/>
          <w:highlight w:val="none"/>
          <w:lang w:val="en-US" w:eastAsia="zh-CN"/>
        </w:rPr>
        <w:t>132335197812062426</w:t>
      </w:r>
      <w:r>
        <w:rPr>
          <w:rFonts w:hint="eastAsia"/>
          <w:sz w:val="15"/>
          <w:szCs w:val="15"/>
        </w:rPr>
        <w:t xml:space="preserve">  </w:t>
      </w:r>
      <w:r>
        <w:rPr>
          <w:rFonts w:hint="eastAsia"/>
          <w:sz w:val="15"/>
          <w:szCs w:val="15"/>
          <w:lang w:val="en-US" w:eastAsia="zh-CN"/>
        </w:rPr>
        <w:t>冀A7G503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