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董志红</w:t>
      </w:r>
      <w:r>
        <w:rPr>
          <w:rFonts w:hint="eastAsia"/>
          <w:sz w:val="15"/>
          <w:szCs w:val="15"/>
          <w:highlight w:val="none"/>
        </w:rPr>
        <w:t>，</w:t>
      </w:r>
      <w:r>
        <w:rPr>
          <w:rFonts w:hint="eastAsia"/>
          <w:sz w:val="15"/>
          <w:szCs w:val="15"/>
          <w:highlight w:val="none"/>
          <w:lang w:val="en-US" w:eastAsia="zh-CN"/>
        </w:rPr>
        <w:t>132335197811182573</w:t>
      </w:r>
      <w:r>
        <w:rPr>
          <w:rFonts w:hint="eastAsia"/>
          <w:sz w:val="15"/>
          <w:szCs w:val="15"/>
        </w:rPr>
        <w:t xml:space="preserve">  </w:t>
      </w:r>
      <w:r>
        <w:rPr>
          <w:rFonts w:hint="eastAsia"/>
          <w:sz w:val="15"/>
          <w:szCs w:val="15"/>
          <w:lang w:val="en-US" w:eastAsia="zh-CN"/>
        </w:rPr>
        <w:t>冀A46669D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