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史彦龙</w:t>
      </w:r>
      <w:r>
        <w:rPr>
          <w:rFonts w:hint="eastAsia"/>
          <w:sz w:val="15"/>
          <w:szCs w:val="15"/>
          <w:highlight w:val="none"/>
        </w:rPr>
        <w:t>，</w:t>
      </w:r>
      <w:r>
        <w:rPr>
          <w:rFonts w:hint="eastAsia"/>
          <w:sz w:val="15"/>
          <w:szCs w:val="15"/>
          <w:highlight w:val="none"/>
          <w:lang w:val="en-US" w:eastAsia="zh-CN"/>
        </w:rPr>
        <w:t>132335197502220919</w:t>
      </w:r>
      <w:r>
        <w:rPr>
          <w:rFonts w:hint="eastAsia"/>
          <w:sz w:val="15"/>
          <w:szCs w:val="15"/>
        </w:rPr>
        <w:t xml:space="preserve">  </w:t>
      </w:r>
      <w:r>
        <w:rPr>
          <w:rFonts w:hint="eastAsia"/>
          <w:sz w:val="15"/>
          <w:szCs w:val="15"/>
          <w:lang w:val="en-US" w:eastAsia="zh-CN"/>
        </w:rPr>
        <w:t>冀AYU132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