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裴志国</w:t>
      </w:r>
      <w:r>
        <w:rPr>
          <w:rFonts w:hint="eastAsia"/>
          <w:sz w:val="15"/>
          <w:szCs w:val="15"/>
          <w:highlight w:val="none"/>
        </w:rPr>
        <w:t>，</w:t>
      </w:r>
      <w:r>
        <w:rPr>
          <w:rFonts w:hint="eastAsia"/>
          <w:sz w:val="15"/>
          <w:szCs w:val="15"/>
          <w:highlight w:val="none"/>
          <w:lang w:val="en-US" w:eastAsia="zh-CN"/>
        </w:rPr>
        <w:t>132325197105244834</w:t>
      </w:r>
      <w:r>
        <w:rPr>
          <w:rFonts w:hint="eastAsia"/>
          <w:sz w:val="15"/>
          <w:szCs w:val="15"/>
        </w:rPr>
        <w:t xml:space="preserve">  </w:t>
      </w:r>
      <w:r>
        <w:rPr>
          <w:rFonts w:hint="eastAsia"/>
          <w:sz w:val="15"/>
          <w:szCs w:val="15"/>
          <w:lang w:val="en-US" w:eastAsia="zh-CN"/>
        </w:rPr>
        <w:t>冀AM6147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