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毕如玉</w:t>
      </w:r>
      <w:r>
        <w:rPr>
          <w:rFonts w:hint="eastAsia"/>
          <w:sz w:val="15"/>
          <w:szCs w:val="15"/>
          <w:highlight w:val="none"/>
        </w:rPr>
        <w:t>，</w:t>
      </w:r>
      <w:r>
        <w:rPr>
          <w:rFonts w:hint="eastAsia"/>
          <w:sz w:val="15"/>
          <w:szCs w:val="15"/>
          <w:highlight w:val="none"/>
          <w:lang w:val="en-US" w:eastAsia="zh-CN"/>
        </w:rPr>
        <w:t>131122200304250229</w:t>
      </w:r>
      <w:r>
        <w:rPr>
          <w:rFonts w:hint="eastAsia"/>
          <w:sz w:val="15"/>
          <w:szCs w:val="15"/>
        </w:rPr>
        <w:t xml:space="preserve">  </w:t>
      </w:r>
      <w:r>
        <w:rPr>
          <w:rFonts w:hint="eastAsia"/>
          <w:sz w:val="15"/>
          <w:szCs w:val="15"/>
          <w:lang w:val="en-US" w:eastAsia="zh-CN"/>
        </w:rPr>
        <w:t>冀TP6803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