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齐诚然</w:t>
      </w:r>
      <w:r>
        <w:rPr>
          <w:rFonts w:hint="eastAsia"/>
          <w:sz w:val="15"/>
          <w:szCs w:val="15"/>
          <w:highlight w:val="none"/>
        </w:rPr>
        <w:t>，</w:t>
      </w:r>
      <w:r>
        <w:rPr>
          <w:rFonts w:hint="eastAsia"/>
          <w:sz w:val="15"/>
          <w:szCs w:val="15"/>
          <w:highlight w:val="none"/>
          <w:lang w:val="en-US" w:eastAsia="zh-CN"/>
        </w:rPr>
        <w:t>13112220021023122X</w:t>
      </w:r>
      <w:r>
        <w:rPr>
          <w:rFonts w:hint="eastAsia"/>
          <w:sz w:val="15"/>
          <w:szCs w:val="15"/>
        </w:rPr>
        <w:t xml:space="preserve">  </w:t>
      </w:r>
      <w:r>
        <w:rPr>
          <w:rFonts w:hint="eastAsia"/>
          <w:sz w:val="15"/>
          <w:szCs w:val="15"/>
          <w:lang w:val="en-US" w:eastAsia="zh-CN"/>
        </w:rPr>
        <w:t>冀TF2032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