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于佳平</w:t>
      </w:r>
      <w:r>
        <w:rPr>
          <w:rFonts w:hint="eastAsia"/>
          <w:sz w:val="15"/>
          <w:szCs w:val="15"/>
          <w:highlight w:val="none"/>
        </w:rPr>
        <w:t>，</w:t>
      </w:r>
      <w:r>
        <w:rPr>
          <w:rFonts w:hint="eastAsia"/>
          <w:sz w:val="15"/>
          <w:szCs w:val="15"/>
          <w:highlight w:val="none"/>
          <w:lang w:val="en-US" w:eastAsia="zh-CN"/>
        </w:rPr>
        <w:t>131122199202052218</w:t>
      </w:r>
      <w:r>
        <w:rPr>
          <w:rFonts w:hint="eastAsia"/>
          <w:sz w:val="15"/>
          <w:szCs w:val="15"/>
        </w:rPr>
        <w:t xml:space="preserve">  </w:t>
      </w:r>
      <w:r>
        <w:rPr>
          <w:rFonts w:hint="eastAsia"/>
          <w:sz w:val="15"/>
          <w:szCs w:val="15"/>
          <w:lang w:val="en-US" w:eastAsia="zh-CN"/>
        </w:rPr>
        <w:t>冀T70095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