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金学东</w:t>
      </w:r>
      <w:r>
        <w:rPr>
          <w:rFonts w:hint="eastAsia"/>
          <w:sz w:val="15"/>
          <w:szCs w:val="15"/>
          <w:highlight w:val="none"/>
        </w:rPr>
        <w:t>，</w:t>
      </w:r>
      <w:r>
        <w:rPr>
          <w:rFonts w:hint="eastAsia"/>
          <w:sz w:val="15"/>
          <w:szCs w:val="15"/>
          <w:highlight w:val="none"/>
          <w:lang w:val="en-US" w:eastAsia="zh-CN"/>
        </w:rPr>
        <w:t>131122197710052434</w:t>
      </w:r>
      <w:r>
        <w:rPr>
          <w:rFonts w:hint="eastAsia"/>
          <w:sz w:val="15"/>
          <w:szCs w:val="15"/>
        </w:rPr>
        <w:t xml:space="preserve">  </w:t>
      </w:r>
      <w:r>
        <w:rPr>
          <w:rFonts w:hint="eastAsia"/>
          <w:sz w:val="15"/>
          <w:szCs w:val="15"/>
          <w:lang w:val="en-US" w:eastAsia="zh-CN"/>
        </w:rPr>
        <w:t>冀T60767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