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楚爱民</w:t>
      </w:r>
      <w:r>
        <w:rPr>
          <w:rFonts w:hint="eastAsia"/>
          <w:sz w:val="15"/>
          <w:szCs w:val="15"/>
          <w:highlight w:val="none"/>
        </w:rPr>
        <w:t>，</w:t>
      </w:r>
      <w:r>
        <w:rPr>
          <w:rFonts w:hint="eastAsia"/>
          <w:sz w:val="15"/>
          <w:szCs w:val="15"/>
          <w:highlight w:val="none"/>
          <w:lang w:val="en-US" w:eastAsia="zh-CN"/>
        </w:rPr>
        <w:t>131122196907102218</w:t>
      </w:r>
      <w:r>
        <w:rPr>
          <w:rFonts w:hint="eastAsia"/>
          <w:sz w:val="15"/>
          <w:szCs w:val="15"/>
        </w:rPr>
        <w:t xml:space="preserve">  </w:t>
      </w:r>
      <w:r>
        <w:rPr>
          <w:rFonts w:hint="eastAsia"/>
          <w:sz w:val="15"/>
          <w:szCs w:val="15"/>
          <w:lang w:val="en-US" w:eastAsia="zh-CN"/>
        </w:rPr>
        <w:t>冀TH6169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