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张莉翠</w:t>
      </w:r>
      <w:r>
        <w:rPr>
          <w:rFonts w:hint="eastAsia"/>
          <w:sz w:val="15"/>
          <w:szCs w:val="15"/>
          <w:highlight w:val="none"/>
        </w:rPr>
        <w:t>，</w:t>
      </w:r>
      <w:r>
        <w:rPr>
          <w:rFonts w:hint="eastAsia"/>
          <w:sz w:val="15"/>
          <w:szCs w:val="15"/>
          <w:highlight w:val="none"/>
          <w:lang w:val="en-US" w:eastAsia="zh-CN"/>
        </w:rPr>
        <w:t>131102198802171421</w:t>
      </w:r>
      <w:r>
        <w:rPr>
          <w:rFonts w:hint="eastAsia"/>
          <w:sz w:val="15"/>
          <w:szCs w:val="15"/>
        </w:rPr>
        <w:t xml:space="preserve">  </w:t>
      </w:r>
      <w:r>
        <w:rPr>
          <w:rFonts w:hint="eastAsia"/>
          <w:sz w:val="15"/>
          <w:szCs w:val="15"/>
          <w:lang w:val="en-US" w:eastAsia="zh-CN"/>
        </w:rPr>
        <w:t>冀T48218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