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温东志</w:t>
      </w:r>
      <w:r>
        <w:rPr>
          <w:rFonts w:hint="eastAsia"/>
          <w:sz w:val="15"/>
          <w:szCs w:val="15"/>
          <w:highlight w:val="none"/>
        </w:rPr>
        <w:t>，</w:t>
      </w:r>
      <w:r>
        <w:rPr>
          <w:rFonts w:hint="eastAsia"/>
          <w:sz w:val="15"/>
          <w:szCs w:val="15"/>
          <w:highlight w:val="none"/>
          <w:lang w:val="en-US" w:eastAsia="zh-CN"/>
        </w:rPr>
        <w:t>130629198208020512</w:t>
      </w:r>
      <w:r>
        <w:rPr>
          <w:rFonts w:hint="eastAsia"/>
          <w:sz w:val="15"/>
          <w:szCs w:val="15"/>
        </w:rPr>
        <w:t xml:space="preserve">  </w:t>
      </w:r>
      <w:r>
        <w:rPr>
          <w:rFonts w:hint="eastAsia"/>
          <w:sz w:val="15"/>
          <w:szCs w:val="15"/>
          <w:lang w:val="en-US" w:eastAsia="zh-CN"/>
        </w:rPr>
        <w:t>冀FW3763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