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马文栓</w:t>
      </w:r>
      <w:r>
        <w:rPr>
          <w:rFonts w:hint="eastAsia"/>
          <w:sz w:val="15"/>
          <w:szCs w:val="15"/>
          <w:highlight w:val="none"/>
        </w:rPr>
        <w:t>，</w:t>
      </w:r>
      <w:r>
        <w:rPr>
          <w:rFonts w:hint="eastAsia"/>
          <w:sz w:val="15"/>
          <w:szCs w:val="15"/>
          <w:highlight w:val="none"/>
          <w:lang w:val="en-US" w:eastAsia="zh-CN"/>
        </w:rPr>
        <w:t>130525199209180079</w:t>
      </w:r>
      <w:r>
        <w:rPr>
          <w:rFonts w:hint="eastAsia"/>
          <w:sz w:val="15"/>
          <w:szCs w:val="15"/>
        </w:rPr>
        <w:t xml:space="preserve">  </w:t>
      </w:r>
      <w:r>
        <w:rPr>
          <w:rFonts w:hint="eastAsia"/>
          <w:sz w:val="15"/>
          <w:szCs w:val="15"/>
          <w:lang w:val="en-US" w:eastAsia="zh-CN"/>
        </w:rPr>
        <w:t>冀E09778D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