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郭宇航</w:t>
      </w:r>
      <w:r>
        <w:rPr>
          <w:rFonts w:hint="eastAsia"/>
          <w:sz w:val="15"/>
          <w:szCs w:val="15"/>
          <w:highlight w:val="none"/>
        </w:rPr>
        <w:t>，</w:t>
      </w:r>
      <w:r>
        <w:rPr>
          <w:rFonts w:hint="eastAsia"/>
          <w:sz w:val="15"/>
          <w:szCs w:val="15"/>
          <w:highlight w:val="none"/>
          <w:lang w:val="en-US" w:eastAsia="zh-CN"/>
        </w:rPr>
        <w:t>130423200305284393</w:t>
      </w:r>
      <w:r>
        <w:rPr>
          <w:rFonts w:hint="eastAsia"/>
          <w:sz w:val="15"/>
          <w:szCs w:val="15"/>
        </w:rPr>
        <w:t xml:space="preserve">  </w:t>
      </w:r>
      <w:r>
        <w:rPr>
          <w:rFonts w:hint="eastAsia"/>
          <w:sz w:val="15"/>
          <w:szCs w:val="15"/>
          <w:lang w:val="en-US" w:eastAsia="zh-CN"/>
        </w:rPr>
        <w:t>冀DX6214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