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赵晓超</w:t>
      </w:r>
      <w:r>
        <w:rPr>
          <w:rFonts w:hint="eastAsia"/>
          <w:sz w:val="15"/>
          <w:szCs w:val="15"/>
          <w:highlight w:val="none"/>
        </w:rPr>
        <w:t>，</w:t>
      </w:r>
      <w:r>
        <w:rPr>
          <w:rFonts w:hint="eastAsia"/>
          <w:sz w:val="15"/>
          <w:szCs w:val="15"/>
          <w:highlight w:val="none"/>
          <w:lang w:val="en-US" w:eastAsia="zh-CN"/>
        </w:rPr>
        <w:t>130221198702022318</w:t>
      </w:r>
      <w:r>
        <w:rPr>
          <w:rFonts w:hint="eastAsia"/>
          <w:sz w:val="15"/>
          <w:szCs w:val="15"/>
        </w:rPr>
        <w:t xml:space="preserve">  </w:t>
      </w:r>
      <w:r>
        <w:rPr>
          <w:rFonts w:hint="eastAsia"/>
          <w:sz w:val="15"/>
          <w:szCs w:val="15"/>
          <w:lang w:val="en-US" w:eastAsia="zh-CN"/>
        </w:rPr>
        <w:t>冀B1290U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