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侯艳昆</w:t>
      </w:r>
      <w:r>
        <w:rPr>
          <w:rFonts w:hint="eastAsia"/>
          <w:sz w:val="15"/>
          <w:szCs w:val="15"/>
          <w:highlight w:val="none"/>
        </w:rPr>
        <w:t>，</w:t>
      </w:r>
      <w:r>
        <w:rPr>
          <w:rFonts w:hint="eastAsia"/>
          <w:sz w:val="15"/>
          <w:szCs w:val="15"/>
          <w:highlight w:val="none"/>
          <w:lang w:val="en-US" w:eastAsia="zh-CN"/>
        </w:rPr>
        <w:t>130221198202047113</w:t>
      </w:r>
      <w:r>
        <w:rPr>
          <w:rFonts w:hint="eastAsia"/>
          <w:sz w:val="15"/>
          <w:szCs w:val="15"/>
        </w:rPr>
        <w:t xml:space="preserve">  </w:t>
      </w:r>
      <w:r>
        <w:rPr>
          <w:rFonts w:hint="eastAsia"/>
          <w:sz w:val="15"/>
          <w:szCs w:val="15"/>
          <w:lang w:val="en-US" w:eastAsia="zh-CN"/>
        </w:rPr>
        <w:t>冀B0775Z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