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段敏</w:t>
      </w:r>
      <w:r>
        <w:rPr>
          <w:rFonts w:hint="eastAsia"/>
          <w:sz w:val="15"/>
          <w:szCs w:val="15"/>
          <w:highlight w:val="none"/>
        </w:rPr>
        <w:t>，</w:t>
      </w:r>
      <w:r>
        <w:rPr>
          <w:rFonts w:hint="eastAsia"/>
          <w:sz w:val="15"/>
          <w:szCs w:val="15"/>
          <w:highlight w:val="none"/>
          <w:lang w:val="en-US" w:eastAsia="zh-CN"/>
        </w:rPr>
        <w:t>130184199402094525</w:t>
      </w:r>
      <w:r>
        <w:rPr>
          <w:rFonts w:hint="eastAsia"/>
          <w:sz w:val="15"/>
          <w:szCs w:val="15"/>
        </w:rPr>
        <w:t xml:space="preserve">  </w:t>
      </w:r>
      <w:r>
        <w:rPr>
          <w:rFonts w:hint="eastAsia"/>
          <w:sz w:val="15"/>
          <w:szCs w:val="15"/>
          <w:lang w:val="en-US" w:eastAsia="zh-CN"/>
        </w:rPr>
        <w:t>冀A08876D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