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王卓卓</w:t>
      </w:r>
      <w:r>
        <w:rPr>
          <w:rFonts w:hint="eastAsia"/>
          <w:sz w:val="15"/>
          <w:szCs w:val="15"/>
          <w:highlight w:val="none"/>
        </w:rPr>
        <w:t>，</w:t>
      </w:r>
      <w:r>
        <w:rPr>
          <w:rFonts w:hint="eastAsia"/>
          <w:sz w:val="15"/>
          <w:szCs w:val="15"/>
          <w:highlight w:val="none"/>
          <w:lang w:val="en-US" w:eastAsia="zh-CN"/>
        </w:rPr>
        <w:t>130184198510100625</w:t>
      </w:r>
      <w:r>
        <w:rPr>
          <w:rFonts w:hint="eastAsia"/>
          <w:sz w:val="15"/>
          <w:szCs w:val="15"/>
        </w:rPr>
        <w:t xml:space="preserve">  </w:t>
      </w:r>
      <w:r>
        <w:rPr>
          <w:rFonts w:hint="eastAsia"/>
          <w:sz w:val="15"/>
          <w:szCs w:val="15"/>
          <w:lang w:val="en-US" w:eastAsia="zh-CN"/>
        </w:rPr>
        <w:t>冀AEC133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