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牛英昆</w:t>
      </w:r>
      <w:r>
        <w:rPr>
          <w:rFonts w:hint="eastAsia"/>
          <w:sz w:val="15"/>
          <w:szCs w:val="15"/>
          <w:highlight w:val="none"/>
        </w:rPr>
        <w:t>，</w:t>
      </w:r>
      <w:r>
        <w:rPr>
          <w:rFonts w:hint="eastAsia"/>
          <w:sz w:val="15"/>
          <w:szCs w:val="15"/>
          <w:highlight w:val="none"/>
          <w:lang w:val="en-US" w:eastAsia="zh-CN"/>
        </w:rPr>
        <w:t>130184198304204538</w:t>
      </w:r>
      <w:r>
        <w:rPr>
          <w:rFonts w:hint="eastAsia"/>
          <w:sz w:val="15"/>
          <w:szCs w:val="15"/>
        </w:rPr>
        <w:t xml:space="preserve">  </w:t>
      </w:r>
      <w:r>
        <w:rPr>
          <w:rFonts w:hint="eastAsia"/>
          <w:sz w:val="15"/>
          <w:szCs w:val="15"/>
          <w:lang w:val="en-US" w:eastAsia="zh-CN"/>
        </w:rPr>
        <w:t>冀AEX567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