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李肖宇</w:t>
      </w:r>
      <w:r>
        <w:rPr>
          <w:rFonts w:hint="eastAsia"/>
          <w:sz w:val="15"/>
          <w:szCs w:val="15"/>
          <w:highlight w:val="none"/>
        </w:rPr>
        <w:t>，</w:t>
      </w:r>
      <w:r>
        <w:rPr>
          <w:rFonts w:hint="eastAsia"/>
          <w:sz w:val="15"/>
          <w:szCs w:val="15"/>
          <w:highlight w:val="none"/>
          <w:lang w:val="en-US" w:eastAsia="zh-CN"/>
        </w:rPr>
        <w:t>130182200607144824</w:t>
      </w:r>
      <w:r>
        <w:rPr>
          <w:rFonts w:hint="eastAsia"/>
          <w:sz w:val="15"/>
          <w:szCs w:val="15"/>
        </w:rPr>
        <w:t xml:space="preserve">  </w:t>
      </w:r>
      <w:r>
        <w:rPr>
          <w:rFonts w:hint="eastAsia"/>
          <w:sz w:val="15"/>
          <w:szCs w:val="15"/>
          <w:lang w:val="en-US" w:eastAsia="zh-CN"/>
        </w:rPr>
        <w:t>冀A2158V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