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孙金昭</w:t>
      </w:r>
      <w:r>
        <w:rPr>
          <w:rFonts w:hint="eastAsia"/>
          <w:sz w:val="15"/>
          <w:szCs w:val="15"/>
          <w:highlight w:val="none"/>
        </w:rPr>
        <w:t>，</w:t>
      </w:r>
      <w:r>
        <w:rPr>
          <w:rFonts w:hint="eastAsia"/>
          <w:sz w:val="15"/>
          <w:szCs w:val="15"/>
          <w:highlight w:val="none"/>
          <w:lang w:val="en-US" w:eastAsia="zh-CN"/>
        </w:rPr>
        <w:t>130182199303255319</w:t>
      </w:r>
      <w:r>
        <w:rPr>
          <w:rFonts w:hint="eastAsia"/>
          <w:sz w:val="15"/>
          <w:szCs w:val="15"/>
        </w:rPr>
        <w:t xml:space="preserve">  </w:t>
      </w:r>
      <w:r>
        <w:rPr>
          <w:rFonts w:hint="eastAsia"/>
          <w:sz w:val="15"/>
          <w:szCs w:val="15"/>
          <w:lang w:val="en-US" w:eastAsia="zh-CN"/>
        </w:rPr>
        <w:t>冀AR4587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