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王会明</w:t>
      </w:r>
      <w:r>
        <w:rPr>
          <w:rFonts w:hint="eastAsia"/>
          <w:sz w:val="15"/>
          <w:szCs w:val="15"/>
          <w:highlight w:val="none"/>
        </w:rPr>
        <w:t>，</w:t>
      </w:r>
      <w:r>
        <w:rPr>
          <w:rFonts w:hint="eastAsia"/>
          <w:sz w:val="15"/>
          <w:szCs w:val="15"/>
          <w:highlight w:val="none"/>
          <w:lang w:val="en-US" w:eastAsia="zh-CN"/>
        </w:rPr>
        <w:t>130182198902015371</w:t>
      </w:r>
      <w:r>
        <w:rPr>
          <w:rFonts w:hint="eastAsia"/>
          <w:sz w:val="15"/>
          <w:szCs w:val="15"/>
        </w:rPr>
        <w:t xml:space="preserve">  </w:t>
      </w:r>
      <w:r>
        <w:rPr>
          <w:rFonts w:hint="eastAsia"/>
          <w:sz w:val="15"/>
          <w:szCs w:val="15"/>
          <w:lang w:val="en-US" w:eastAsia="zh-CN"/>
        </w:rPr>
        <w:t>冀A83P70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