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刘力伟</w:t>
      </w:r>
      <w:r>
        <w:rPr>
          <w:rFonts w:hint="eastAsia"/>
          <w:sz w:val="15"/>
          <w:szCs w:val="15"/>
          <w:highlight w:val="none"/>
        </w:rPr>
        <w:t>，</w:t>
      </w:r>
      <w:r>
        <w:rPr>
          <w:rFonts w:hint="eastAsia"/>
          <w:sz w:val="15"/>
          <w:szCs w:val="15"/>
          <w:highlight w:val="none"/>
          <w:lang w:val="en-US" w:eastAsia="zh-CN"/>
        </w:rPr>
        <w:t>130182198409195313</w:t>
      </w:r>
      <w:r>
        <w:rPr>
          <w:rFonts w:hint="eastAsia"/>
          <w:sz w:val="15"/>
          <w:szCs w:val="15"/>
        </w:rPr>
        <w:t xml:space="preserve">  </w:t>
      </w:r>
      <w:r>
        <w:rPr>
          <w:rFonts w:hint="eastAsia"/>
          <w:sz w:val="15"/>
          <w:szCs w:val="15"/>
          <w:lang w:val="en-US" w:eastAsia="zh-CN"/>
        </w:rPr>
        <w:t>冀AF6556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