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吴彦龙</w:t>
      </w:r>
      <w:r>
        <w:rPr>
          <w:rFonts w:hint="eastAsia"/>
          <w:sz w:val="15"/>
          <w:szCs w:val="15"/>
          <w:highlight w:val="none"/>
        </w:rPr>
        <w:t>，</w:t>
      </w:r>
      <w:r>
        <w:rPr>
          <w:rFonts w:hint="eastAsia"/>
          <w:sz w:val="15"/>
          <w:szCs w:val="15"/>
          <w:highlight w:val="none"/>
          <w:lang w:val="en-US" w:eastAsia="zh-CN"/>
        </w:rPr>
        <w:t>130182198407066614</w:t>
      </w:r>
      <w:r>
        <w:rPr>
          <w:rFonts w:hint="eastAsia"/>
          <w:sz w:val="15"/>
          <w:szCs w:val="15"/>
        </w:rPr>
        <w:t xml:space="preserve">  </w:t>
      </w:r>
      <w:r>
        <w:rPr>
          <w:rFonts w:hint="eastAsia"/>
          <w:sz w:val="15"/>
          <w:szCs w:val="15"/>
          <w:lang w:val="en-US" w:eastAsia="zh-CN"/>
        </w:rPr>
        <w:t>冀A75063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