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赵亮亮</w:t>
      </w:r>
      <w:r>
        <w:rPr>
          <w:rFonts w:hint="eastAsia"/>
          <w:sz w:val="15"/>
          <w:szCs w:val="15"/>
          <w:highlight w:val="none"/>
        </w:rPr>
        <w:t>，</w:t>
      </w:r>
      <w:r>
        <w:rPr>
          <w:rFonts w:hint="eastAsia"/>
          <w:sz w:val="15"/>
          <w:szCs w:val="15"/>
          <w:highlight w:val="none"/>
          <w:lang w:val="en-US" w:eastAsia="zh-CN"/>
        </w:rPr>
        <w:t>130182198212305339</w:t>
      </w:r>
      <w:r>
        <w:rPr>
          <w:rFonts w:hint="eastAsia"/>
          <w:sz w:val="15"/>
          <w:szCs w:val="15"/>
        </w:rPr>
        <w:t xml:space="preserve">  </w:t>
      </w:r>
      <w:r>
        <w:rPr>
          <w:rFonts w:hint="eastAsia"/>
          <w:sz w:val="15"/>
          <w:szCs w:val="15"/>
          <w:lang w:val="en-US" w:eastAsia="zh-CN"/>
        </w:rPr>
        <w:t>冀AWT596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