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杜军发</w:t>
      </w:r>
      <w:r>
        <w:rPr>
          <w:rFonts w:hint="eastAsia"/>
          <w:sz w:val="15"/>
          <w:szCs w:val="15"/>
          <w:highlight w:val="none"/>
        </w:rPr>
        <w:t>，</w:t>
      </w:r>
      <w:r>
        <w:rPr>
          <w:rFonts w:hint="eastAsia"/>
          <w:sz w:val="15"/>
          <w:szCs w:val="15"/>
          <w:highlight w:val="none"/>
          <w:lang w:val="en-US" w:eastAsia="zh-CN"/>
        </w:rPr>
        <w:t>130182198112205314</w:t>
      </w:r>
      <w:r>
        <w:rPr>
          <w:rFonts w:hint="eastAsia"/>
          <w:sz w:val="15"/>
          <w:szCs w:val="15"/>
        </w:rPr>
        <w:t xml:space="preserve">  </w:t>
      </w:r>
      <w:r>
        <w:rPr>
          <w:rFonts w:hint="eastAsia"/>
          <w:sz w:val="15"/>
          <w:szCs w:val="15"/>
          <w:lang w:val="en-US" w:eastAsia="zh-CN"/>
        </w:rPr>
        <w:t>冀A158YG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