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冯亚娟</w:t>
      </w:r>
      <w:r>
        <w:rPr>
          <w:rFonts w:hint="eastAsia"/>
          <w:sz w:val="15"/>
          <w:szCs w:val="15"/>
          <w:highlight w:val="none"/>
        </w:rPr>
        <w:t>，</w:t>
      </w:r>
      <w:r>
        <w:rPr>
          <w:rFonts w:hint="eastAsia"/>
          <w:sz w:val="15"/>
          <w:szCs w:val="15"/>
          <w:highlight w:val="none"/>
          <w:lang w:val="en-US" w:eastAsia="zh-CN"/>
        </w:rPr>
        <w:t>130133198811261561</w:t>
      </w:r>
      <w:r>
        <w:rPr>
          <w:rFonts w:hint="eastAsia"/>
          <w:sz w:val="15"/>
          <w:szCs w:val="15"/>
        </w:rPr>
        <w:t xml:space="preserve">  </w:t>
      </w:r>
      <w:r>
        <w:rPr>
          <w:rFonts w:hint="eastAsia"/>
          <w:sz w:val="15"/>
          <w:szCs w:val="15"/>
          <w:lang w:val="en-US" w:eastAsia="zh-CN"/>
        </w:rPr>
        <w:t>冀AH3231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