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习佳欣</w:t>
      </w:r>
      <w:r>
        <w:rPr>
          <w:rFonts w:hint="eastAsia"/>
          <w:sz w:val="15"/>
          <w:szCs w:val="15"/>
          <w:highlight w:val="none"/>
        </w:rPr>
        <w:t>，</w:t>
      </w:r>
      <w:r>
        <w:rPr>
          <w:rFonts w:hint="eastAsia"/>
          <w:sz w:val="15"/>
          <w:szCs w:val="15"/>
          <w:highlight w:val="none"/>
          <w:lang w:val="en-US" w:eastAsia="zh-CN"/>
        </w:rPr>
        <w:t>130131200707021223</w:t>
      </w:r>
      <w:r>
        <w:rPr>
          <w:rFonts w:hint="eastAsia"/>
          <w:sz w:val="15"/>
          <w:szCs w:val="15"/>
        </w:rPr>
        <w:t xml:space="preserve">  </w:t>
      </w:r>
      <w:r>
        <w:rPr>
          <w:rFonts w:hint="eastAsia"/>
          <w:sz w:val="15"/>
          <w:szCs w:val="15"/>
          <w:lang w:val="en-US" w:eastAsia="zh-CN"/>
        </w:rPr>
        <w:t>沪A22187A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