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韩佳玮</w:t>
      </w:r>
      <w:r>
        <w:rPr>
          <w:rFonts w:hint="eastAsia"/>
          <w:sz w:val="15"/>
          <w:szCs w:val="15"/>
          <w:highlight w:val="none"/>
        </w:rPr>
        <w:t>，</w:t>
      </w:r>
      <w:r>
        <w:rPr>
          <w:rFonts w:hint="eastAsia"/>
          <w:sz w:val="15"/>
          <w:szCs w:val="15"/>
          <w:highlight w:val="none"/>
          <w:lang w:val="en-US" w:eastAsia="zh-CN"/>
        </w:rPr>
        <w:t>130131200608260034</w:t>
      </w:r>
      <w:r>
        <w:rPr>
          <w:rFonts w:hint="eastAsia"/>
          <w:sz w:val="15"/>
          <w:szCs w:val="15"/>
        </w:rPr>
        <w:t xml:space="preserve">  </w:t>
      </w:r>
      <w:r>
        <w:rPr>
          <w:rFonts w:hint="eastAsia"/>
          <w:sz w:val="15"/>
          <w:szCs w:val="15"/>
          <w:lang w:val="en-US" w:eastAsia="zh-CN"/>
        </w:rPr>
        <w:t>冀A09360D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