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马玉帆</w:t>
      </w:r>
      <w:r>
        <w:rPr>
          <w:rFonts w:hint="eastAsia"/>
          <w:sz w:val="15"/>
          <w:szCs w:val="15"/>
          <w:highlight w:val="none"/>
        </w:rPr>
        <w:t>，</w:t>
      </w:r>
      <w:r>
        <w:rPr>
          <w:rFonts w:hint="eastAsia"/>
          <w:sz w:val="15"/>
          <w:szCs w:val="15"/>
          <w:highlight w:val="none"/>
          <w:lang w:val="en-US" w:eastAsia="zh-CN"/>
        </w:rPr>
        <w:t>130131200507183981</w:t>
      </w:r>
      <w:r>
        <w:rPr>
          <w:rFonts w:hint="eastAsia"/>
          <w:sz w:val="15"/>
          <w:szCs w:val="15"/>
        </w:rPr>
        <w:t xml:space="preserve">  </w:t>
      </w:r>
      <w:r>
        <w:rPr>
          <w:rFonts w:hint="eastAsia"/>
          <w:sz w:val="15"/>
          <w:szCs w:val="15"/>
          <w:lang w:val="en-US" w:eastAsia="zh-CN"/>
        </w:rPr>
        <w:t>沪A10707A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