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解聪</w:t>
      </w:r>
      <w:r>
        <w:rPr>
          <w:rFonts w:hint="eastAsia"/>
          <w:sz w:val="15"/>
          <w:szCs w:val="15"/>
          <w:highlight w:val="none"/>
        </w:rPr>
        <w:t>，</w:t>
      </w:r>
      <w:r>
        <w:rPr>
          <w:rFonts w:hint="eastAsia"/>
          <w:sz w:val="15"/>
          <w:szCs w:val="15"/>
          <w:highlight w:val="none"/>
          <w:lang w:val="en-US" w:eastAsia="zh-CN"/>
        </w:rPr>
        <w:t>13013120010130152X</w:t>
      </w:r>
      <w:r>
        <w:rPr>
          <w:rFonts w:hint="eastAsia"/>
          <w:sz w:val="15"/>
          <w:szCs w:val="15"/>
        </w:rPr>
        <w:t xml:space="preserve">  </w:t>
      </w:r>
      <w:r>
        <w:rPr>
          <w:rFonts w:hint="eastAsia"/>
          <w:sz w:val="15"/>
          <w:szCs w:val="15"/>
          <w:lang w:val="en-US" w:eastAsia="zh-CN"/>
        </w:rPr>
        <w:t>冀A07743D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