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张鹤春</w:t>
      </w:r>
      <w:r>
        <w:rPr>
          <w:rFonts w:hint="eastAsia"/>
          <w:sz w:val="15"/>
          <w:szCs w:val="15"/>
          <w:highlight w:val="none"/>
        </w:rPr>
        <w:t>，</w:t>
      </w:r>
      <w:r>
        <w:rPr>
          <w:rFonts w:hint="eastAsia"/>
          <w:sz w:val="15"/>
          <w:szCs w:val="15"/>
          <w:highlight w:val="none"/>
          <w:lang w:val="en-US" w:eastAsia="zh-CN"/>
        </w:rPr>
        <w:t>130131200005050062</w:t>
      </w:r>
      <w:r>
        <w:rPr>
          <w:rFonts w:hint="eastAsia"/>
          <w:sz w:val="15"/>
          <w:szCs w:val="15"/>
        </w:rPr>
        <w:t xml:space="preserve">  </w:t>
      </w:r>
      <w:r>
        <w:rPr>
          <w:rFonts w:hint="eastAsia"/>
          <w:sz w:val="15"/>
          <w:szCs w:val="15"/>
          <w:lang w:val="en-US" w:eastAsia="zh-CN"/>
        </w:rPr>
        <w:t>冀A2B753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