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康毅</w:t>
      </w:r>
      <w:r>
        <w:rPr>
          <w:rFonts w:hint="eastAsia"/>
          <w:sz w:val="15"/>
          <w:szCs w:val="15"/>
          <w:highlight w:val="none"/>
        </w:rPr>
        <w:t>，</w:t>
      </w:r>
      <w:r>
        <w:rPr>
          <w:rFonts w:hint="eastAsia"/>
          <w:sz w:val="15"/>
          <w:szCs w:val="15"/>
          <w:highlight w:val="none"/>
          <w:lang w:val="en-US" w:eastAsia="zh-CN"/>
        </w:rPr>
        <w:t>130131200001130057</w:t>
      </w:r>
      <w:r>
        <w:rPr>
          <w:rFonts w:hint="eastAsia"/>
          <w:sz w:val="15"/>
          <w:szCs w:val="15"/>
        </w:rPr>
        <w:t xml:space="preserve">  </w:t>
      </w:r>
      <w:r>
        <w:rPr>
          <w:rFonts w:hint="eastAsia"/>
          <w:sz w:val="15"/>
          <w:szCs w:val="15"/>
          <w:lang w:val="en-US" w:eastAsia="zh-CN"/>
        </w:rPr>
        <w:t>冀A00314D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