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李璞</w:t>
      </w:r>
      <w:r>
        <w:rPr>
          <w:rFonts w:hint="eastAsia"/>
          <w:sz w:val="15"/>
          <w:szCs w:val="15"/>
          <w:highlight w:val="none"/>
        </w:rPr>
        <w:t>，</w:t>
      </w:r>
      <w:r>
        <w:rPr>
          <w:rFonts w:hint="eastAsia"/>
          <w:sz w:val="15"/>
          <w:szCs w:val="15"/>
          <w:highlight w:val="none"/>
          <w:lang w:val="en-US" w:eastAsia="zh-CN"/>
        </w:rPr>
        <w:t>130131199911010091</w:t>
      </w:r>
      <w:r>
        <w:rPr>
          <w:rFonts w:hint="eastAsia"/>
          <w:sz w:val="15"/>
          <w:szCs w:val="15"/>
        </w:rPr>
        <w:t xml:space="preserve">  </w:t>
      </w:r>
      <w:r>
        <w:rPr>
          <w:rFonts w:hint="eastAsia"/>
          <w:sz w:val="15"/>
          <w:szCs w:val="15"/>
          <w:lang w:val="en-US" w:eastAsia="zh-CN"/>
        </w:rPr>
        <w:t>沪A29176A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