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刘子健</w:t>
      </w:r>
      <w:r>
        <w:rPr>
          <w:rFonts w:hint="eastAsia"/>
          <w:sz w:val="15"/>
          <w:szCs w:val="15"/>
          <w:highlight w:val="none"/>
        </w:rPr>
        <w:t>，</w:t>
      </w:r>
      <w:r>
        <w:rPr>
          <w:rFonts w:hint="eastAsia"/>
          <w:sz w:val="15"/>
          <w:szCs w:val="15"/>
          <w:highlight w:val="none"/>
          <w:lang w:val="en-US" w:eastAsia="zh-CN"/>
        </w:rPr>
        <w:t>130131199907183918</w:t>
      </w:r>
      <w:r>
        <w:rPr>
          <w:rFonts w:hint="eastAsia"/>
          <w:sz w:val="15"/>
          <w:szCs w:val="15"/>
        </w:rPr>
        <w:t xml:space="preserve">  </w:t>
      </w:r>
      <w:r>
        <w:rPr>
          <w:rFonts w:hint="eastAsia"/>
          <w:sz w:val="15"/>
          <w:szCs w:val="15"/>
          <w:lang w:val="en-US" w:eastAsia="zh-CN"/>
        </w:rPr>
        <w:t>冀A46633D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