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张世才</w:t>
      </w:r>
      <w:r>
        <w:rPr>
          <w:rFonts w:hint="eastAsia"/>
          <w:sz w:val="15"/>
          <w:szCs w:val="15"/>
          <w:highlight w:val="none"/>
        </w:rPr>
        <w:t>，</w:t>
      </w:r>
      <w:r>
        <w:rPr>
          <w:rFonts w:hint="eastAsia"/>
          <w:sz w:val="15"/>
          <w:szCs w:val="15"/>
          <w:highlight w:val="none"/>
          <w:lang w:val="en-US" w:eastAsia="zh-CN"/>
        </w:rPr>
        <w:t>130131199503251216</w:t>
      </w:r>
      <w:r>
        <w:rPr>
          <w:rFonts w:hint="eastAsia"/>
          <w:sz w:val="15"/>
          <w:szCs w:val="15"/>
        </w:rPr>
        <w:t xml:space="preserve">  </w:t>
      </w:r>
      <w:r>
        <w:rPr>
          <w:rFonts w:hint="eastAsia"/>
          <w:sz w:val="15"/>
          <w:szCs w:val="15"/>
          <w:lang w:val="en-US" w:eastAsia="zh-CN"/>
        </w:rPr>
        <w:t>沪A87309D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