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赵振南</w:t>
      </w:r>
      <w:r>
        <w:rPr>
          <w:rFonts w:hint="eastAsia"/>
          <w:sz w:val="15"/>
          <w:szCs w:val="15"/>
          <w:highlight w:val="none"/>
        </w:rPr>
        <w:t>，</w:t>
      </w:r>
      <w:r>
        <w:rPr>
          <w:rFonts w:hint="eastAsia"/>
          <w:sz w:val="15"/>
          <w:szCs w:val="15"/>
          <w:highlight w:val="none"/>
          <w:lang w:val="en-US" w:eastAsia="zh-CN"/>
        </w:rPr>
        <w:t>130131199412124211</w:t>
      </w:r>
      <w:r>
        <w:rPr>
          <w:rFonts w:hint="eastAsia"/>
          <w:sz w:val="15"/>
          <w:szCs w:val="15"/>
        </w:rPr>
        <w:t xml:space="preserve">  </w:t>
      </w:r>
      <w:r>
        <w:rPr>
          <w:rFonts w:hint="eastAsia"/>
          <w:sz w:val="15"/>
          <w:szCs w:val="15"/>
          <w:lang w:val="en-US" w:eastAsia="zh-CN"/>
        </w:rPr>
        <w:t>冀AK8600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