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习亚南</w:t>
      </w:r>
      <w:r>
        <w:rPr>
          <w:rFonts w:hint="eastAsia"/>
          <w:sz w:val="15"/>
          <w:szCs w:val="15"/>
          <w:highlight w:val="none"/>
        </w:rPr>
        <w:t>，</w:t>
      </w:r>
      <w:r>
        <w:rPr>
          <w:rFonts w:hint="eastAsia"/>
          <w:sz w:val="15"/>
          <w:szCs w:val="15"/>
          <w:highlight w:val="none"/>
          <w:lang w:val="en-US" w:eastAsia="zh-CN"/>
        </w:rPr>
        <w:t>130131199307161248</w:t>
      </w:r>
      <w:r>
        <w:rPr>
          <w:rFonts w:hint="eastAsia"/>
          <w:sz w:val="15"/>
          <w:szCs w:val="15"/>
        </w:rPr>
        <w:t xml:space="preserve">  </w:t>
      </w:r>
      <w:r>
        <w:rPr>
          <w:rFonts w:hint="eastAsia"/>
          <w:sz w:val="15"/>
          <w:szCs w:val="15"/>
          <w:lang w:val="en-US" w:eastAsia="zh-CN"/>
        </w:rPr>
        <w:t>沪A11630A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