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付伟鹏</w:t>
      </w:r>
      <w:r>
        <w:rPr>
          <w:rFonts w:hint="eastAsia"/>
          <w:sz w:val="15"/>
          <w:szCs w:val="15"/>
          <w:highlight w:val="none"/>
        </w:rPr>
        <w:t>，</w:t>
      </w:r>
      <w:r>
        <w:rPr>
          <w:rFonts w:hint="eastAsia"/>
          <w:sz w:val="15"/>
          <w:szCs w:val="15"/>
          <w:highlight w:val="none"/>
          <w:lang w:val="en-US" w:eastAsia="zh-CN"/>
        </w:rPr>
        <w:t>130131199206102716</w:t>
      </w:r>
      <w:r>
        <w:rPr>
          <w:rFonts w:hint="eastAsia"/>
          <w:sz w:val="15"/>
          <w:szCs w:val="15"/>
        </w:rPr>
        <w:t xml:space="preserve">  </w:t>
      </w:r>
      <w:r>
        <w:rPr>
          <w:rFonts w:hint="eastAsia"/>
          <w:sz w:val="15"/>
          <w:szCs w:val="15"/>
          <w:lang w:val="en-US" w:eastAsia="zh-CN"/>
        </w:rPr>
        <w:t>沪A08061A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