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乔桥</w:t>
      </w:r>
      <w:r>
        <w:rPr>
          <w:rFonts w:hint="eastAsia"/>
          <w:sz w:val="15"/>
          <w:szCs w:val="15"/>
          <w:highlight w:val="none"/>
        </w:rPr>
        <w:t>，</w:t>
      </w:r>
      <w:r>
        <w:rPr>
          <w:rFonts w:hint="eastAsia"/>
          <w:sz w:val="15"/>
          <w:szCs w:val="15"/>
          <w:highlight w:val="none"/>
          <w:lang w:val="en-US" w:eastAsia="zh-CN"/>
        </w:rPr>
        <w:t>130131199206013916</w:t>
      </w:r>
      <w:r>
        <w:rPr>
          <w:rFonts w:hint="eastAsia"/>
          <w:sz w:val="15"/>
          <w:szCs w:val="15"/>
        </w:rPr>
        <w:t xml:space="preserve">  </w:t>
      </w:r>
      <w:r>
        <w:rPr>
          <w:rFonts w:hint="eastAsia"/>
          <w:sz w:val="15"/>
          <w:szCs w:val="15"/>
          <w:lang w:val="en-US" w:eastAsia="zh-CN"/>
        </w:rPr>
        <w:t>冀AXV497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