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刘志鹏</w:t>
      </w:r>
      <w:r>
        <w:rPr>
          <w:rFonts w:hint="eastAsia"/>
          <w:sz w:val="15"/>
          <w:szCs w:val="15"/>
          <w:highlight w:val="none"/>
        </w:rPr>
        <w:t>，</w:t>
      </w:r>
      <w:r>
        <w:rPr>
          <w:rFonts w:hint="eastAsia"/>
          <w:sz w:val="15"/>
          <w:szCs w:val="15"/>
          <w:highlight w:val="none"/>
          <w:lang w:val="en-US" w:eastAsia="zh-CN"/>
        </w:rPr>
        <w:t>130131199007185117</w:t>
      </w:r>
      <w:r>
        <w:rPr>
          <w:rFonts w:hint="eastAsia"/>
          <w:sz w:val="15"/>
          <w:szCs w:val="15"/>
        </w:rPr>
        <w:t xml:space="preserve">  </w:t>
      </w:r>
      <w:r>
        <w:rPr>
          <w:rFonts w:hint="eastAsia"/>
          <w:sz w:val="15"/>
          <w:szCs w:val="15"/>
          <w:lang w:val="en-US" w:eastAsia="zh-CN"/>
        </w:rPr>
        <w:t>沪A11662A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