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赵立朝</w:t>
      </w:r>
      <w:r>
        <w:rPr>
          <w:rFonts w:hint="eastAsia"/>
          <w:sz w:val="15"/>
          <w:szCs w:val="15"/>
          <w:highlight w:val="none"/>
        </w:rPr>
        <w:t>，</w:t>
      </w:r>
      <w:r>
        <w:rPr>
          <w:rFonts w:hint="eastAsia"/>
          <w:sz w:val="15"/>
          <w:szCs w:val="15"/>
          <w:highlight w:val="none"/>
          <w:lang w:val="en-US" w:eastAsia="zh-CN"/>
        </w:rPr>
        <w:t>130131199003163631</w:t>
      </w:r>
      <w:r>
        <w:rPr>
          <w:rFonts w:hint="eastAsia"/>
          <w:sz w:val="15"/>
          <w:szCs w:val="15"/>
        </w:rPr>
        <w:t xml:space="preserve">  </w:t>
      </w:r>
      <w:r>
        <w:rPr>
          <w:rFonts w:hint="eastAsia"/>
          <w:sz w:val="15"/>
          <w:szCs w:val="15"/>
          <w:lang w:val="en-US" w:eastAsia="zh-CN"/>
        </w:rPr>
        <w:t>冀ADR468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